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18323B" w:sz="0"/>
          <w:left w:val="none" w:color="18323B" w:sz="0"/>
          <w:bottom w:val="none" w:color="18323B" w:sz="0"/>
          <w:right w:val="none" w:color="18323B" w:sz="0"/>
          <w:insideH w:val="none" w:color="18323B" w:sz="0"/>
          <w:insideV w:val="none" w:color="18323B" w:sz="0"/>
        </w:tblBorders>
      </w:tblPr>
      <w:tblGrid>
        <w:gridCol w:w="10106"/>
      </w:tblGrid>
      <w:tr>
        <w:tc>
          <w:tcPr>
            <w:tcW w:type="dxa" w:w="10106"/>
            <w:shd w:fill="18323B" w:val="clear"/>
            <w:tcMar>
              <w:top w:type="dxa" w:w="320"/>
              <w:left w:type="dxa" w:w="360"/>
              <w:bottom w:type="dxa" w:w="320"/>
              <w:right w:type="dxa" w:w="360"/>
            </w:tcMar>
          </w:tcPr>
          <w:p>
            <w:pPr>
              <w:spacing w:after="180" w:line="230" w:lineRule="exact"/>
              <w:rPr>
                <w:b/>
                <w:bCs/>
                <w:color w:val="C7D5DA"/>
                <w:sz w:val="19"/>
                <w:szCs w:val="19"/>
              </w:rPr>
            </w:pPr>
            <w:r>
              <w:rPr>
                <w:b/>
                <w:bCs/>
                <w:color w:val="C7D5DA"/>
                <w:sz w:val="19"/>
                <w:szCs w:val="19"/>
              </w:rPr>
              <w:t xml:space="preserve">PRACTICAL WORKBOOK 01</w:t>
            </w:r>
          </w:p>
          <w:p>
            <w:pPr>
              <w:spacing w:after="0" w:line="650" w:lineRule="exact"/>
              <w:rPr>
                <w:rFonts w:ascii="Georgia" w:cs="Georgia" w:eastAsia="Georgia" w:hAnsi="Georgia"/>
                <w:color w:val="FFFFFF"/>
                <w:sz w:val="57"/>
                <w:szCs w:val="57"/>
              </w:rPr>
            </w:pPr>
            <w:r>
              <w:rPr>
                <w:rFonts w:ascii="Georgia" w:cs="Georgia" w:eastAsia="Georgia" w:hAnsi="Georgia"/>
                <w:color w:val="FFFFFF"/>
                <w:sz w:val="57"/>
                <w:szCs w:val="57"/>
              </w:rPr>
              <w:t xml:space="preserve">Engagement that changes decisions</w:t>
            </w:r>
          </w:p>
        </w:tc>
      </w:tr>
    </w:tbl>
    <w:p>
      <w:pPr>
        <w:spacing w:after="140" w:before="240" w:line="400" w:lineRule="exact"/>
        <w:rPr>
          <w:b/>
          <w:bCs/>
          <w:sz w:val="33"/>
          <w:szCs w:val="33"/>
        </w:rPr>
      </w:pPr>
      <w:r>
        <w:rPr>
          <w:b/>
          <w:bCs/>
          <w:sz w:val="33"/>
          <w:szCs w:val="33"/>
        </w:rPr>
        <w:t xml:space="preserve">What can people still change about your project? How long do they have to have their say?</w:t>
      </w:r>
    </w:p>
    <w:p>
      <w:pPr>
        <w:spacing w:after="140" w:line="320" w:lineRule="exact"/>
      </w:pPr>
      <w:r>
        <w:t xml:space="preserve">If you can’t answer in a sentence, you’re about to run an information session and call it consultation. Start with one real decision.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For the person who owns the decision</w:t>
      </w:r>
    </w:p>
    <w:p>
      <w:pPr>
        <w:spacing w:after="140" w:line="320" w:lineRule="exact"/>
      </w:pPr>
      <w:r>
        <w:t xml:space="preserve">The engagement lead can open the conversation. Someone with authority must be willing to act on what comes back.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What it takes</w:t>
      </w:r>
    </w:p>
    <w:p>
      <w:pPr>
        <w:spacing w:after="140" w:line="320" w:lineRule="exact"/>
      </w:pPr>
      <w:r>
        <w:t xml:space="preserve">Attention before the choice is locked, time to test alternatives and willingness to change the plan.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What it helps prevent</w:t>
      </w:r>
    </w:p>
    <w:p>
      <w:pPr>
        <w:spacing w:after="140" w:line="320" w:lineRule="exact"/>
      </w:pPr>
      <w:r>
        <w:t xml:space="preserve">Promises your team cannot deliver, followed by rework or an explanation that arrives too late. This is a delivery question, not a communications task.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Start here</w:t>
      </w:r>
    </w:p>
    <w:p>
      <w:pPr>
        <w:spacing w:after="140" w:line="320" w:lineRule="exact"/>
      </w:pPr>
      <w:r>
        <w:t xml:space="preserve">Take one decision through the next four pages: set the boundaries, map who decides, write the invitation and show what happened.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The project or decision I’m bringing to this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ageBreakBefore/>
        <w:spacing w:after="160" w:line="220" w:lineRule="exact"/>
        <w:rPr>
          <w:b/>
          <w:bCs/>
          <w:color w:val="955038"/>
          <w:sz w:val="19"/>
          <w:szCs w:val="19"/>
        </w:rPr>
      </w:pPr>
      <w:r>
        <w:rPr>
          <w:b/>
          <w:bCs/>
          <w:color w:val="955038"/>
          <w:sz w:val="19"/>
          <w:szCs w:val="19"/>
        </w:rPr>
        <w:t xml:space="preserve">PRACTICAL WORKBOOK 01</w:t>
      </w:r>
    </w:p>
    <w:p>
      <w:pPr>
        <w:keepNext/>
        <w:spacing w:after="220" w:line="540" w:lineRule="exact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Fixed is a claim. Test it.</w:t>
      </w:r>
    </w:p>
    <w:p>
      <w:pPr>
        <w:spacing w:after="140" w:line="320" w:lineRule="exact"/>
      </w:pPr>
      <w:r>
        <w:t xml:space="preserve">Before asking for views, separate what is fixed, what is open and what still needs an answer.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Fixed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What cannot change? Record the reason and who verified it.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Open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What could change in a way affected people would notice?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Not yet confirmed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What needs checking, and who will check it?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spacing w:after="0" w:before="220" w:line="320" w:lineRule="exac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Test the constraint: is it a requirement, a verified limit or a preference? “We would rather not” needs an honest label.</w:t>
      </w:r>
    </w:p>
    <w:p>
      <w:pPr>
        <w:pageBreakBefore/>
        <w:spacing w:after="160" w:line="220" w:lineRule="exact"/>
        <w:rPr>
          <w:b/>
          <w:bCs/>
          <w:color w:val="955038"/>
          <w:sz w:val="19"/>
          <w:szCs w:val="19"/>
        </w:rPr>
      </w:pPr>
      <w:r>
        <w:rPr>
          <w:b/>
          <w:bCs/>
          <w:color w:val="955038"/>
          <w:sz w:val="19"/>
          <w:szCs w:val="19"/>
        </w:rPr>
        <w:t xml:space="preserve">PRACTICAL WORKBOOK 01</w:t>
      </w:r>
    </w:p>
    <w:p>
      <w:pPr>
        <w:keepNext/>
        <w:spacing w:after="220" w:line="540" w:lineRule="exact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Map the decision</w:t>
      </w:r>
    </w:p>
    <w:p>
      <w:pPr>
        <w:spacing w:after="140" w:line="320" w:lineRule="exact"/>
      </w:pPr>
      <w:r>
        <w:t xml:space="preserve">Complete this with the person who can authorise a change. Agree the scope before inviting people to contribute.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The decision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What choice is still open? Use the boundaries on page 2.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The authority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Who decides? Who else must advise or approve?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The people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Who is affected or missing, including people whose rights or cultural authority need direct engagement? How can they take part?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How input will be considered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What criteria will be used? How will options and differing views be weighed?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The dates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Input closes: __________   Decision: __________   Feedback by: __________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The follow-through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Who will explain the outcome and own the commitments?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ageBreakBefore/>
        <w:spacing w:after="160" w:line="220" w:lineRule="exact"/>
        <w:rPr>
          <w:b/>
          <w:bCs/>
          <w:color w:val="955038"/>
          <w:sz w:val="19"/>
          <w:szCs w:val="19"/>
        </w:rPr>
      </w:pPr>
      <w:r>
        <w:rPr>
          <w:b/>
          <w:bCs/>
          <w:color w:val="955038"/>
          <w:sz w:val="19"/>
          <w:szCs w:val="19"/>
        </w:rPr>
        <w:t xml:space="preserve">PRACTICAL WORKBOOK 01</w:t>
      </w:r>
    </w:p>
    <w:p>
      <w:pPr>
        <w:keepNext/>
        <w:spacing w:after="220" w:line="540" w:lineRule="exact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Make the invitation honest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What influence looks like</w:t>
      </w:r>
    </w:p>
    <w:p>
      <w:pPr>
        <w:spacing w:after="140" w:line="320" w:lineRule="exact"/>
      </w:pPr>
      <w:r>
        <w:t xml:space="preserve">Fictional example: a temporary footpath diversion. Residents, traders and people with access needs identify a lost rest point and delivery problems on route A.</w:t>
      </w:r>
    </w:p>
    <w:p>
      <w:pPr>
        <w:spacing w:after="140" w:line="320" w:lineRule="exact"/>
      </w:pPr>
      <w:r>
        <w:t xml:space="preserve">The delivery manager asks the team to test route B with better wayfinding and revised delivery access. The checks show it can work. Route B is chosen and the team explains what changed and what remains unresolved.</w:t>
      </w:r>
    </w:p>
    <w:p>
      <w:pPr>
        <w:spacing w:after="220" w:line="320" w:lineRule="exact"/>
        <w:rPr>
          <w:b/>
          <w:bCs/>
        </w:rPr>
      </w:pPr>
      <w:r>
        <w:rPr>
          <w:b/>
          <w:bCs/>
        </w:rPr>
        <w:t xml:space="preserve">People were asked while the choice was open. The record shows what was heard, what was tested and why route B was chosen.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Use your map to write the invitation</w:t>
      </w:r>
    </w:p>
    <w:p>
      <w:pPr>
        <w:spacing w:after="180" w:line="340" w:lineRule="exact"/>
        <w:rPr>
          <w:sz w:val="24"/>
          <w:szCs w:val="24"/>
        </w:rPr>
      </w:pPr>
      <w:r>
        <w:rPr>
          <w:sz w:val="24"/>
          <w:szCs w:val="24"/>
        </w:rPr>
        <w:t xml:space="preserve">“We are deciding ____. You can influence ____. ____ is outside this decision because ____. Contribute by ____, using ____. ____ will decide, considering ____. We will explain the outcome by ____.”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spacing w:after="0" w:before="20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Can someone outside the project explain what could change? If not, revise the invitation. If nothing is open, explain the decision honestly or seek authority to reopen it.</w:t>
      </w:r>
    </w:p>
    <w:p>
      <w:pPr>
        <w:pageBreakBefore/>
        <w:spacing w:after="160" w:line="220" w:lineRule="exact"/>
        <w:rPr>
          <w:b/>
          <w:bCs/>
          <w:color w:val="955038"/>
          <w:sz w:val="19"/>
          <w:szCs w:val="19"/>
        </w:rPr>
      </w:pPr>
      <w:r>
        <w:rPr>
          <w:b/>
          <w:bCs/>
          <w:color w:val="955038"/>
          <w:sz w:val="19"/>
          <w:szCs w:val="19"/>
        </w:rPr>
        <w:t xml:space="preserve">PRACTICAL WORKBOOK 01</w:t>
      </w:r>
    </w:p>
    <w:p>
      <w:pPr>
        <w:keepNext/>
        <w:spacing w:after="220" w:line="540" w:lineRule="exact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Show what happened</w:t>
      </w:r>
    </w:p>
    <w:p>
      <w:pPr>
        <w:spacing w:after="140" w:line="320" w:lineRule="exact"/>
      </w:pPr>
      <w:r>
        <w:t xml:space="preserve">Complete this after the decision. Keep disagreement and unresolved concerns visible.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What we heard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Include views that challenged the preferred approach.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What we tested and decided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What changed, what stayed the same and why?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keepNext/>
        <w:spacing w:after="80" w:before="220" w:line="340" w:lineRule="exact"/>
        <w:rPr>
          <w:b/>
          <w:bCs/>
          <w:color w:val="955038"/>
          <w:sz w:val="28"/>
          <w:szCs w:val="28"/>
        </w:rPr>
      </w:pPr>
      <w:r>
        <w:rPr>
          <w:b/>
          <w:bCs/>
          <w:color w:val="955038"/>
          <w:sz w:val="28"/>
          <w:szCs w:val="28"/>
        </w:rPr>
        <w:t xml:space="preserve">What happens next</w:t>
      </w:r>
    </w:p>
    <w:p>
      <w:pPr>
        <w:spacing w:after="30" w:line="280" w:lineRule="exact"/>
        <w:rPr>
          <w:color w:val="52636B"/>
          <w:sz w:val="22"/>
          <w:szCs w:val="22"/>
        </w:rPr>
      </w:pPr>
      <w:r>
        <w:rPr>
          <w:color w:val="52636B"/>
          <w:sz w:val="22"/>
          <w:szCs w:val="22"/>
        </w:rPr>
        <w:t xml:space="preserve">Unresolved issue or commitment / owner / due date / feedback date.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spacing w:after="100" w:before="260" w:line="380" w:lineRule="exac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Which decision would we make differently if affected people told us something we had not understood?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pBdr>
          <w:bottom w:val="single" w:color="CCD6D8" w:sz="3"/>
        </w:pBdr>
        <w:spacing w:after="50" w:line="440" w:lineRule="exact"/>
      </w:pPr>
      <w:r>
        <w:rPr>
          <w:sz w:val="24"/>
          <w:szCs w:val="24"/>
        </w:rPr>
        <w:t xml:space="preserve"> </w:t>
      </w:r>
    </w:p>
    <w:p>
      <w:pPr>
        <w:spacing w:after="140" w:before="240" w:line="280" w:lineRule="exact"/>
        <w:rPr>
          <w:b/>
          <w:bCs/>
          <w:color w:val="955038"/>
          <w:sz w:val="22"/>
          <w:szCs w:val="22"/>
        </w:rPr>
      </w:pPr>
      <w:r>
        <w:rPr>
          <w:b/>
          <w:bCs/>
          <w:color w:val="955038"/>
          <w:sz w:val="22"/>
          <w:szCs w:val="22"/>
        </w:rPr>
        <w:t xml:space="preserve">Next: Workbook 02 · When the client holds the constraints.</w:t>
      </w:r>
    </w:p>
    <w:p>
      <w:pPr>
        <w:spacing w:after="120" w:line="250" w:lineRule="exact"/>
        <w:rPr>
          <w:color w:val="52636B"/>
          <w:sz w:val="20"/>
          <w:szCs w:val="20"/>
        </w:rPr>
      </w:pPr>
      <w:r>
        <w:rPr>
          <w:color w:val="52636B"/>
          <w:sz w:val="20"/>
          <w:szCs w:val="20"/>
        </w:rPr>
        <w:t xml:space="preserve">Use and adapt the working pages for your own projects. Share the original with attribution. No resale or rebranding.</w:t>
      </w:r>
    </w:p>
    <w:p>
      <w:pPr>
        <w:spacing w:after="100" w:line="270" w:lineRule="exact"/>
        <w:rPr>
          <w:color w:val="52636B"/>
          <w:sz w:val="21"/>
          <w:szCs w:val="21"/>
        </w:rPr>
      </w:pPr>
      <w:r>
        <w:rPr>
          <w:color w:val="52636B"/>
          <w:sz w:val="21"/>
          <w:szCs w:val="21"/>
        </w:rPr>
        <w:t xml:space="preserve">This is a planning aid, not evidence of support, and it won’t do the thinking for you.</w:t>
      </w:r>
    </w:p>
    <w:p>
      <w:pPr>
        <w:spacing w:after="90"/>
      </w:pPr>
      <w:hyperlink w:history="1" r:id="rIdjwsjjlq24s-_9pqm-cg_l">
        <w:r>
          <w:rPr>
            <w:color w:val="955038"/>
            <w:sz w:val="22"/>
            <w:szCs w:val="22"/>
            <w:u w:val="single"/>
          </w:rPr>
          <w:t xml:space="preserve">The Ministry of Engagement</w:t>
        </w:r>
      </w:hyperlink>
    </w:p>
    <w:p>
      <w:pPr>
        <w:spacing w:after="0" w:line="280" w:lineRule="exact"/>
        <w:rPr>
          <w:b/>
          <w:bCs/>
          <w:color w:val="18323B"/>
          <w:sz w:val="22"/>
          <w:szCs w:val="22"/>
        </w:rPr>
      </w:pPr>
      <w:r>
        <w:rPr>
          <w:b/>
          <w:bCs/>
          <w:color w:val="18323B"/>
          <w:sz w:val="22"/>
          <w:szCs w:val="22"/>
        </w:rPr>
        <w:t xml:space="preserve">Unofficially official guidance from the Ministry.</w:t>
      </w:r>
    </w:p>
    <w:sectPr>
      <w:headerReference w:type="default" r:id="rId7"/>
      <w:footerReference w:type="default" r:id="rId8"/>
      <w:pgSz w:w="11906" w:h="16838" w:orient="portrait"/>
      <w:pgMar w:top="1480" w:right="900" w:bottom="850" w:left="900" w:header="450" w:footer="43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50" w:line="220" w:lineRule="exact"/>
      <w:rPr>
        <w:color w:val="52636B"/>
        <w:sz w:val="18"/>
        <w:szCs w:val="18"/>
      </w:rPr>
    </w:pPr>
    <w:r>
      <w:rPr>
        <w:color w:val="52636B"/>
        <w:sz w:val="18"/>
        <w:szCs w:val="18"/>
      </w:rPr>
      <w:t xml:space="preserve">© 2026 The Ministry of Engagement Pty Ltd. All rights reserved.</w:t>
    </w:r>
  </w:p>
  <w:p>
    <w:pPr>
      <w:jc w:val="right"/>
    </w:pPr>
    <w:r>
      <w:rPr>
        <w:color w:val="52636B"/>
        <w:sz w:val="18"/>
        <w:szCs w:val="18"/>
      </w:rPr>
      <w:t xml:space="preserve">WORKBOOK 01 · v1.4     </w:t>
    </w:r>
    <w:r>
      <w:rPr>
        <w:color w:val="95503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2636B"/>
        <w:sz w:val="18"/>
        <w:szCs w:val="18"/>
      </w:rPr>
      <w:t xml:space="preserve"> / 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81125" cy="400050"/>
          <wp:effectExtent t="0" r="0" b="0" l="0"/>
          <wp:docPr id="1" name="Ministry logo" descr="The Ministry of Engagement logo" title="The Ministry of Engag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323B"/>
        <w:sz w:val="24"/>
        <w:szCs w:val="24"/>
      </w:rPr>
    </w:rPrDefault>
    <w:pPrDefault>
      <w:pPr>
        <w:spacing w:after="140" w:line="3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jwsjjlq24s-_9pqm-cg_l" Type="http://schemas.openxmlformats.org/officeDocument/2006/relationships/hyperlink" Target="https://www.theministryofengagement.co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97f8aeff81c81d5ac76ce4814e830948998ccb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Engagement that changes decisions</dc:title>
  <dc:subject>Practical Workbook 01</dc:subject>
  <dc:creator>Perplexity Computer</dc:creator>
  <dc:description>Five-page A4 workbook v1.4. Light layout, writing space and a separate responsive mobile edition.</dc:description>
  <cp:lastModifiedBy>Un-named</cp:lastModifiedBy>
  <cp:revision>1</cp:revision>
  <dcterms:created xsi:type="dcterms:W3CDTF">2026-09-22T13:51:19.595Z</dcterms:created>
  <dcterms:modified xsi:type="dcterms:W3CDTF">2026-09-22T13:51:19.595Z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